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B7" w:rsidRDefault="007574B7" w:rsidP="007574B7">
      <w:pPr>
        <w:pStyle w:val="NormalWeb"/>
      </w:pPr>
      <w:r>
        <w:t xml:space="preserve">                                              </w:t>
      </w:r>
      <w:hyperlink r:id="rId6" w:history="1">
        <w:r>
          <w:rPr>
            <w:rStyle w:val="Kpr"/>
          </w:rPr>
          <w:t>Aday Öğretmen Değerlendirme Formları</w:t>
        </w:r>
      </w:hyperlink>
      <w:r>
        <w:t xml:space="preserve"> </w:t>
      </w:r>
    </w:p>
    <w:p w:rsidR="007574B7" w:rsidRDefault="007574B7" w:rsidP="007574B7">
      <w:pPr>
        <w:pStyle w:val="NormalWeb"/>
      </w:pPr>
    </w:p>
    <w:p w:rsidR="007574B7" w:rsidRDefault="007574B7" w:rsidP="007574B7">
      <w:pPr>
        <w:pStyle w:val="NormalWeb"/>
      </w:pPr>
      <w:r>
        <w:t>17/04/2015 tarih ve 29329 sayılı Resmi Gazete´de yayımlanarak yürürlüğe giren Milli Eğitim Bakanlığı Öğretmenlerin Atama ve Yer Değiştirme Yönetmeliği hükümleri uyarınca Aday Öğretmenlerin Değerlendirmelerinde kullanılacak olan Değerlendirme Formu Giriş Ek-3 ve Kısım-A ve B bölümleri hazırlanarak Okul Müdürlerimizin ve Danışman Öğretmenlerimizin kullanımına sunulmuştur.</w:t>
      </w:r>
    </w:p>
    <w:p w:rsidR="007574B7" w:rsidRDefault="007574B7" w:rsidP="007574B7">
      <w:pPr>
        <w:pStyle w:val="NormalWeb"/>
      </w:pPr>
      <w:r>
        <w:t>İlgili Okul Müdürü, Danışman Öğretmen ve İlçe Milli Eğitim Müdürü/Şube Müdürü</w:t>
      </w:r>
      <w:r>
        <w:rPr>
          <w:rStyle w:val="Gl"/>
        </w:rPr>
        <w:t xml:space="preserve"> (İlçemize Maarif Müfettişi görevlendirmesi yapılmayacaktır.)</w:t>
      </w:r>
      <w:r>
        <w:t xml:space="preserve"> değerlendirme formlarını üçer nüsha dolduracaktır. Değerlendirme işlemi sonunda formun bir örneği değerlendiriciler tarafından muhazafa edilecektir. Danışman Öğretmen ve  İlçe Milli Eğitim Müdürü/Şube Müdürü formların bir diğerini ilgili okul müdürüne tutanakla teslim edecektir. Okul müdürü kendi değerlendirme formuyla birlikte bu formları okulda dosyalayacak ve iki yıl süreyle veya mahkeme süreci bitene kadar muhafaza edecektir. Tüm değerlendiriciler, formun birer nüshasını da aday öğretmene teslim edecektir.</w:t>
      </w:r>
    </w:p>
    <w:p w:rsidR="00F750C4" w:rsidRDefault="00F750C4" w:rsidP="00F750C4">
      <w:pPr>
        <w:pStyle w:val="NormalWeb"/>
      </w:pPr>
      <w:r>
        <w:t>B) Değerlendirme takvimi</w:t>
      </w:r>
    </w:p>
    <w:p w:rsidR="00F750C4" w:rsidRDefault="00F750C4" w:rsidP="00F750C4">
      <w:pPr>
        <w:pStyle w:val="NormalWeb"/>
      </w:pPr>
      <w:r>
        <w:t>Ek 1 tablo doğrultusunda;</w:t>
      </w:r>
    </w:p>
    <w:p w:rsidR="00F750C4" w:rsidRDefault="00F750C4" w:rsidP="00F750C4">
      <w:pPr>
        <w:pStyle w:val="NormalWeb"/>
      </w:pPr>
      <w:r>
        <w:t>Bakanlığımız öğretmen kadrolarına atandıktan sonra henüz performans değerlendirmesi yapılmamış veya 11.10.2015 tarihinde yapılan Asli Öğretmenliğe Geçiş Yazılı Sınavında “Başarısız” olan aday öğretmenlerin birinci değerlendirmesinin 15.01.2016 tarihine kadar, ikinci değerlendirmesinin 2015 -  2016 eğitim öğretim yılının ikinci döneminde 29.04.2016 tarihine kadar üçüncü değerlendirmelerinin 2015 -  2016 eğitim öğretim yılının ikinci döneminde 10.06.2016 tarihine kadar yapılması,</w:t>
      </w:r>
    </w:p>
    <w:p w:rsidR="00F750C4" w:rsidRDefault="00F750C4" w:rsidP="00F750C4">
      <w:pPr>
        <w:pStyle w:val="NormalWeb"/>
      </w:pPr>
      <w:r>
        <w:t>2014 – 2015 eğitim öğretim yılının ikinci döneminde bir performans değerlendirmesi yapılan aday öğretmenlerin ikinci performans değerlendirmesinin 04.12.2015 tarihine kadar, üçüncü performans değerlendirmesinin 31.12.2015 tarihine kadar yapılması,</w:t>
      </w:r>
    </w:p>
    <w:p w:rsidR="00F750C4" w:rsidRDefault="00F750C4" w:rsidP="00F750C4">
      <w:pPr>
        <w:pStyle w:val="NormalWeb"/>
      </w:pPr>
      <w:r>
        <w:t xml:space="preserve">İlgi (a) yönetmeliğin geçici 6. Maddesi kapsamında iki performans değerlendirmeye tabi olan aday öğretmenlerden 2014 – 2015 eğitim öğretim yılı ikinci döneminde değerlendirilmesinde eksikler bulunan aday öğretmenlerden; </w:t>
      </w:r>
    </w:p>
    <w:p w:rsidR="00F750C4" w:rsidRDefault="00F750C4" w:rsidP="00F750C4">
      <w:pPr>
        <w:pStyle w:val="NormalWeb"/>
      </w:pPr>
      <w:r>
        <w:t xml:space="preserve"> Her iki performans değerlendirmesi eksik olanların 04.12.2015 tarihine kadar birinci değerlendirmesinin, 31.12.2015 tarihine kadar ikinci performans değerlendirmesinin yapılması,</w:t>
      </w:r>
    </w:p>
    <w:p w:rsidR="00F750C4" w:rsidRDefault="00F750C4" w:rsidP="00F750C4">
      <w:pPr>
        <w:pStyle w:val="NormalWeb"/>
      </w:pPr>
      <w:r>
        <w:t>Yalnızca ikinci performans değerlendirmesi eksik olanların ise ikinci performans değerlendirmesinin 31.12.2015 tarihine kadar yapılması</w:t>
      </w:r>
    </w:p>
    <w:p w:rsidR="00F750C4" w:rsidRDefault="00F750C4" w:rsidP="00F750C4">
      <w:pPr>
        <w:pStyle w:val="NormalWeb"/>
      </w:pPr>
      <w:r>
        <w:t>Tamamlanmış değerlendirme formlarından üç nüsha alınarak bir nüshası aday öğretmene verilmesi, diğer nüshası değerlendiricinin kendisinde kalması, üçüncü nüshası aday öğretmenin özlük dosyasında tutulması, değerlendirmeyi müteakip formların ivedilikle MEBBİS aday öğretmen modülüne değerlendiriciler tarafından işlenmesi,</w:t>
      </w:r>
    </w:p>
    <w:p w:rsidR="00F750C4" w:rsidRDefault="00F750C4" w:rsidP="00F750C4">
      <w:pPr>
        <w:pStyle w:val="NormalWeb"/>
      </w:pPr>
      <w:r>
        <w:lastRenderedPageBreak/>
        <w:t>Performans değerlendirmesinde aday öğretmenin her dönem iki ay filli çalışma şartı aranmaktadır. Bu şartı karşılayabilecek durumda olup mazereti sebebiyle (doğum, askerlik, sağlık sorunları vb.) dilekçe ile talep eden aday öğretmenlerin değerlendirmelerinin yukarda bahsedilen takvime bağlı kalınmaksızın  yapılması,</w:t>
      </w:r>
    </w:p>
    <w:p w:rsidR="00F750C4" w:rsidRDefault="00F750C4" w:rsidP="00F750C4">
      <w:pPr>
        <w:pStyle w:val="NormalWeb"/>
      </w:pPr>
    </w:p>
    <w:p w:rsidR="00F750C4" w:rsidRDefault="00F750C4" w:rsidP="00F750C4">
      <w:pPr>
        <w:pStyle w:val="NormalWeb"/>
      </w:pPr>
      <w:r>
        <w:t>C) Diğer hususlar</w:t>
      </w:r>
    </w:p>
    <w:p w:rsidR="00F750C4" w:rsidRDefault="00F750C4" w:rsidP="00F750C4">
      <w:pPr>
        <w:pStyle w:val="NormalWeb"/>
      </w:pPr>
      <w:r>
        <w:t xml:space="preserve">Ayrıca adaylık kaldırma işleminin Ek-2 de sunulan matbu form ile yapılması; </w:t>
      </w:r>
    </w:p>
    <w:p w:rsidR="00F750C4" w:rsidRDefault="00F750C4" w:rsidP="00F750C4">
      <w:pPr>
        <w:pStyle w:val="NormalWeb"/>
      </w:pPr>
    </w:p>
    <w:p w:rsidR="007574B7" w:rsidRDefault="00F750C4" w:rsidP="00F750C4">
      <w:pPr>
        <w:pStyle w:val="NormalWeb"/>
      </w:pPr>
      <w:r>
        <w:t>Hususlarında bilgilerinizi ve gereğini rica ederim.</w:t>
      </w:r>
    </w:p>
    <w:p w:rsidR="007574B7" w:rsidRDefault="007574B7" w:rsidP="007574B7">
      <w:pPr>
        <w:pStyle w:val="NormalWeb"/>
      </w:pPr>
      <w:r>
        <w:t> </w:t>
      </w:r>
    </w:p>
    <w:p w:rsidR="004F6A0E" w:rsidRDefault="004F6A0E">
      <w:bookmarkStart w:id="0" w:name="_GoBack"/>
      <w:bookmarkEnd w:id="0"/>
    </w:p>
    <w:p w:rsidR="002B669D" w:rsidRDefault="00F750C4">
      <w:r>
        <w:tab/>
        <w:t xml:space="preserve">                                                                                                                          Cevdet ARSLAN </w:t>
      </w:r>
    </w:p>
    <w:p w:rsidR="00F750C4" w:rsidRDefault="00F750C4">
      <w:r>
        <w:t xml:space="preserve">                                                                                                                                    İl Milli Eğitim Müdürü </w:t>
      </w:r>
    </w:p>
    <w:p w:rsidR="002B669D" w:rsidRDefault="002B669D"/>
    <w:p w:rsidR="002B669D" w:rsidRDefault="002B669D"/>
    <w:p w:rsidR="002B669D" w:rsidRDefault="002B669D"/>
    <w:p w:rsidR="002B669D" w:rsidRDefault="002B669D"/>
    <w:p w:rsidR="002B669D" w:rsidRDefault="002B669D"/>
    <w:p w:rsidR="002B669D" w:rsidRDefault="002B669D"/>
    <w:p w:rsidR="002B669D" w:rsidRDefault="002B669D"/>
    <w:sectPr w:rsidR="002B66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E0C" w:rsidRDefault="00D47E0C" w:rsidP="002B669D">
      <w:pPr>
        <w:spacing w:after="0" w:line="240" w:lineRule="auto"/>
      </w:pPr>
      <w:r>
        <w:separator/>
      </w:r>
    </w:p>
  </w:endnote>
  <w:endnote w:type="continuationSeparator" w:id="0">
    <w:p w:rsidR="00D47E0C" w:rsidRDefault="00D47E0C" w:rsidP="002B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MEBHeadFont">
    <w:altName w:val="Times New Roman"/>
    <w:charset w:val="00"/>
    <w:family w:val="auto"/>
    <w:pitch w:val="default"/>
  </w:font>
  <w:font w:name="Calibri Light">
    <w:altName w:val="Calibri"/>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E0C" w:rsidRDefault="00D47E0C" w:rsidP="002B669D">
      <w:pPr>
        <w:spacing w:after="0" w:line="240" w:lineRule="auto"/>
      </w:pPr>
      <w:r>
        <w:separator/>
      </w:r>
    </w:p>
  </w:footnote>
  <w:footnote w:type="continuationSeparator" w:id="0">
    <w:p w:rsidR="00D47E0C" w:rsidRDefault="00D47E0C" w:rsidP="002B66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B7"/>
    <w:rsid w:val="002B669D"/>
    <w:rsid w:val="00432C14"/>
    <w:rsid w:val="004F6A0E"/>
    <w:rsid w:val="0061765D"/>
    <w:rsid w:val="007574B7"/>
    <w:rsid w:val="00D47E0C"/>
    <w:rsid w:val="00D76D41"/>
    <w:rsid w:val="00F75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E95AD-27E3-4D93-9492-D1BCE3FD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B669D"/>
    <w:pPr>
      <w:spacing w:before="100" w:beforeAutospacing="1" w:after="100" w:afterAutospacing="1" w:line="240" w:lineRule="auto"/>
      <w:outlineLvl w:val="1"/>
    </w:pPr>
    <w:rPr>
      <w:rFonts w:ascii="MEBHeadFont" w:eastAsia="Times New Roman" w:hAnsi="MEBHeadFont"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574B7"/>
    <w:rPr>
      <w:color w:val="0000FF"/>
      <w:u w:val="single"/>
    </w:rPr>
  </w:style>
  <w:style w:type="paragraph" w:styleId="NormalWeb">
    <w:name w:val="Normal (Web)"/>
    <w:basedOn w:val="Normal"/>
    <w:uiPriority w:val="99"/>
    <w:unhideWhenUsed/>
    <w:rsid w:val="007574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74B7"/>
    <w:rPr>
      <w:b/>
      <w:bCs/>
    </w:rPr>
  </w:style>
  <w:style w:type="paragraph" w:styleId="stbilgi">
    <w:name w:val="header"/>
    <w:basedOn w:val="Normal"/>
    <w:link w:val="stbilgiChar"/>
    <w:uiPriority w:val="99"/>
    <w:unhideWhenUsed/>
    <w:rsid w:val="002B66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669D"/>
  </w:style>
  <w:style w:type="paragraph" w:styleId="Altbilgi">
    <w:name w:val="footer"/>
    <w:basedOn w:val="Normal"/>
    <w:link w:val="AltbilgiChar"/>
    <w:uiPriority w:val="99"/>
    <w:unhideWhenUsed/>
    <w:rsid w:val="002B66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669D"/>
  </w:style>
  <w:style w:type="character" w:customStyle="1" w:styleId="Balk2Char">
    <w:name w:val="Başlık 2 Char"/>
    <w:basedOn w:val="VarsaylanParagrafYazTipi"/>
    <w:link w:val="Balk2"/>
    <w:uiPriority w:val="9"/>
    <w:rsid w:val="002B669D"/>
    <w:rPr>
      <w:rFonts w:ascii="MEBHeadFont" w:eastAsia="Times New Roman" w:hAnsi="MEBHeadFont"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40904">
      <w:bodyDiv w:val="1"/>
      <w:marLeft w:val="0"/>
      <w:marRight w:val="0"/>
      <w:marTop w:val="0"/>
      <w:marBottom w:val="0"/>
      <w:divBdr>
        <w:top w:val="none" w:sz="0" w:space="0" w:color="auto"/>
        <w:left w:val="none" w:sz="0" w:space="0" w:color="auto"/>
        <w:bottom w:val="none" w:sz="0" w:space="0" w:color="auto"/>
        <w:right w:val="none" w:sz="0" w:space="0" w:color="auto"/>
      </w:divBdr>
      <w:divsChild>
        <w:div w:id="51127489">
          <w:marLeft w:val="0"/>
          <w:marRight w:val="0"/>
          <w:marTop w:val="0"/>
          <w:marBottom w:val="0"/>
          <w:divBdr>
            <w:top w:val="none" w:sz="0" w:space="0" w:color="auto"/>
            <w:left w:val="none" w:sz="0" w:space="0" w:color="auto"/>
            <w:bottom w:val="none" w:sz="0" w:space="0" w:color="auto"/>
            <w:right w:val="none" w:sz="0" w:space="0" w:color="auto"/>
          </w:divBdr>
          <w:divsChild>
            <w:div w:id="951279776">
              <w:marLeft w:val="0"/>
              <w:marRight w:val="0"/>
              <w:marTop w:val="0"/>
              <w:marBottom w:val="0"/>
              <w:divBdr>
                <w:top w:val="none" w:sz="0" w:space="0" w:color="auto"/>
                <w:left w:val="none" w:sz="0" w:space="0" w:color="auto"/>
                <w:bottom w:val="none" w:sz="0" w:space="0" w:color="auto"/>
                <w:right w:val="none" w:sz="0" w:space="0" w:color="auto"/>
              </w:divBdr>
              <w:divsChild>
                <w:div w:id="320544344">
                  <w:marLeft w:val="0"/>
                  <w:marRight w:val="0"/>
                  <w:marTop w:val="0"/>
                  <w:marBottom w:val="0"/>
                  <w:divBdr>
                    <w:top w:val="none" w:sz="0" w:space="0" w:color="auto"/>
                    <w:left w:val="none" w:sz="0" w:space="0" w:color="auto"/>
                    <w:bottom w:val="none" w:sz="0" w:space="0" w:color="auto"/>
                    <w:right w:val="none" w:sz="0" w:space="0" w:color="auto"/>
                  </w:divBdr>
                  <w:divsChild>
                    <w:div w:id="1967537704">
                      <w:marLeft w:val="0"/>
                      <w:marRight w:val="0"/>
                      <w:marTop w:val="0"/>
                      <w:marBottom w:val="0"/>
                      <w:divBdr>
                        <w:top w:val="none" w:sz="0" w:space="0" w:color="auto"/>
                        <w:left w:val="none" w:sz="0" w:space="0" w:color="auto"/>
                        <w:bottom w:val="none" w:sz="0" w:space="0" w:color="auto"/>
                        <w:right w:val="none" w:sz="0" w:space="0" w:color="auto"/>
                      </w:divBdr>
                      <w:divsChild>
                        <w:div w:id="2131438768">
                          <w:marLeft w:val="0"/>
                          <w:marRight w:val="0"/>
                          <w:marTop w:val="0"/>
                          <w:marBottom w:val="0"/>
                          <w:divBdr>
                            <w:top w:val="none" w:sz="0" w:space="0" w:color="auto"/>
                            <w:left w:val="none" w:sz="0" w:space="0" w:color="auto"/>
                            <w:bottom w:val="none" w:sz="0" w:space="0" w:color="auto"/>
                            <w:right w:val="none" w:sz="0" w:space="0" w:color="auto"/>
                          </w:divBdr>
                          <w:divsChild>
                            <w:div w:id="52582940">
                              <w:marLeft w:val="0"/>
                              <w:marRight w:val="0"/>
                              <w:marTop w:val="0"/>
                              <w:marBottom w:val="0"/>
                              <w:divBdr>
                                <w:top w:val="none" w:sz="0" w:space="0" w:color="auto"/>
                                <w:left w:val="none" w:sz="0" w:space="0" w:color="auto"/>
                                <w:bottom w:val="none" w:sz="0" w:space="0" w:color="auto"/>
                                <w:right w:val="none" w:sz="0" w:space="0" w:color="auto"/>
                              </w:divBdr>
                              <w:divsChild>
                                <w:div w:id="1607038864">
                                  <w:marLeft w:val="0"/>
                                  <w:marRight w:val="0"/>
                                  <w:marTop w:val="0"/>
                                  <w:marBottom w:val="0"/>
                                  <w:divBdr>
                                    <w:top w:val="none" w:sz="0" w:space="0" w:color="auto"/>
                                    <w:left w:val="none" w:sz="0" w:space="0" w:color="auto"/>
                                    <w:bottom w:val="none" w:sz="0" w:space="0" w:color="auto"/>
                                    <w:right w:val="none" w:sz="0" w:space="0" w:color="auto"/>
                                  </w:divBdr>
                                  <w:divsChild>
                                    <w:div w:id="1369834295">
                                      <w:marLeft w:val="0"/>
                                      <w:marRight w:val="0"/>
                                      <w:marTop w:val="0"/>
                                      <w:marBottom w:val="0"/>
                                      <w:divBdr>
                                        <w:top w:val="none" w:sz="0" w:space="0" w:color="auto"/>
                                        <w:left w:val="none" w:sz="0" w:space="0" w:color="auto"/>
                                        <w:bottom w:val="none" w:sz="0" w:space="0" w:color="auto"/>
                                        <w:right w:val="none" w:sz="0" w:space="0" w:color="auto"/>
                                      </w:divBdr>
                                      <w:divsChild>
                                        <w:div w:id="1433818487">
                                          <w:marLeft w:val="0"/>
                                          <w:marRight w:val="0"/>
                                          <w:marTop w:val="0"/>
                                          <w:marBottom w:val="0"/>
                                          <w:divBdr>
                                            <w:top w:val="none" w:sz="0" w:space="0" w:color="auto"/>
                                            <w:left w:val="none" w:sz="0" w:space="0" w:color="auto"/>
                                            <w:bottom w:val="none" w:sz="0" w:space="0" w:color="auto"/>
                                            <w:right w:val="none" w:sz="0" w:space="0" w:color="auto"/>
                                          </w:divBdr>
                                          <w:divsChild>
                                            <w:div w:id="1218399524">
                                              <w:marLeft w:val="0"/>
                                              <w:marRight w:val="0"/>
                                              <w:marTop w:val="0"/>
                                              <w:marBottom w:val="0"/>
                                              <w:divBdr>
                                                <w:top w:val="none" w:sz="0" w:space="0" w:color="auto"/>
                                                <w:left w:val="none" w:sz="0" w:space="0" w:color="auto"/>
                                                <w:bottom w:val="none" w:sz="0" w:space="0" w:color="auto"/>
                                                <w:right w:val="none" w:sz="0" w:space="0" w:color="auto"/>
                                              </w:divBdr>
                                            </w:div>
                                            <w:div w:id="872694834">
                                              <w:marLeft w:val="0"/>
                                              <w:marRight w:val="0"/>
                                              <w:marTop w:val="0"/>
                                              <w:marBottom w:val="0"/>
                                              <w:divBdr>
                                                <w:top w:val="none" w:sz="0" w:space="0" w:color="auto"/>
                                                <w:left w:val="none" w:sz="0" w:space="0" w:color="auto"/>
                                                <w:bottom w:val="none" w:sz="0" w:space="0" w:color="auto"/>
                                                <w:right w:val="none" w:sz="0" w:space="0" w:color="auto"/>
                                              </w:divBdr>
                                              <w:divsChild>
                                                <w:div w:id="1995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475">
                                          <w:marLeft w:val="0"/>
                                          <w:marRight w:val="0"/>
                                          <w:marTop w:val="0"/>
                                          <w:marBottom w:val="0"/>
                                          <w:divBdr>
                                            <w:top w:val="none" w:sz="0" w:space="0" w:color="auto"/>
                                            <w:left w:val="none" w:sz="0" w:space="0" w:color="auto"/>
                                            <w:bottom w:val="none" w:sz="0" w:space="0" w:color="auto"/>
                                            <w:right w:val="none" w:sz="0" w:space="0" w:color="auto"/>
                                          </w:divBdr>
                                          <w:divsChild>
                                            <w:div w:id="16033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011114">
      <w:bodyDiv w:val="1"/>
      <w:marLeft w:val="0"/>
      <w:marRight w:val="0"/>
      <w:marTop w:val="0"/>
      <w:marBottom w:val="0"/>
      <w:divBdr>
        <w:top w:val="none" w:sz="0" w:space="0" w:color="auto"/>
        <w:left w:val="none" w:sz="0" w:space="0" w:color="auto"/>
        <w:bottom w:val="none" w:sz="0" w:space="0" w:color="auto"/>
        <w:right w:val="none" w:sz="0" w:space="0" w:color="auto"/>
      </w:divBdr>
      <w:divsChild>
        <w:div w:id="846483396">
          <w:marLeft w:val="0"/>
          <w:marRight w:val="0"/>
          <w:marTop w:val="0"/>
          <w:marBottom w:val="0"/>
          <w:divBdr>
            <w:top w:val="none" w:sz="0" w:space="0" w:color="auto"/>
            <w:left w:val="none" w:sz="0" w:space="0" w:color="auto"/>
            <w:bottom w:val="none" w:sz="0" w:space="0" w:color="auto"/>
            <w:right w:val="none" w:sz="0" w:space="0" w:color="auto"/>
          </w:divBdr>
          <w:divsChild>
            <w:div w:id="1825048948">
              <w:marLeft w:val="0"/>
              <w:marRight w:val="0"/>
              <w:marTop w:val="0"/>
              <w:marBottom w:val="0"/>
              <w:divBdr>
                <w:top w:val="none" w:sz="0" w:space="0" w:color="auto"/>
                <w:left w:val="none" w:sz="0" w:space="0" w:color="auto"/>
                <w:bottom w:val="none" w:sz="0" w:space="0" w:color="auto"/>
                <w:right w:val="none" w:sz="0" w:space="0" w:color="auto"/>
              </w:divBdr>
              <w:divsChild>
                <w:div w:id="1917473000">
                  <w:marLeft w:val="0"/>
                  <w:marRight w:val="0"/>
                  <w:marTop w:val="0"/>
                  <w:marBottom w:val="0"/>
                  <w:divBdr>
                    <w:top w:val="none" w:sz="0" w:space="0" w:color="auto"/>
                    <w:left w:val="none" w:sz="0" w:space="0" w:color="auto"/>
                    <w:bottom w:val="none" w:sz="0" w:space="0" w:color="auto"/>
                    <w:right w:val="none" w:sz="0" w:space="0" w:color="auto"/>
                  </w:divBdr>
                  <w:divsChild>
                    <w:div w:id="1274050121">
                      <w:marLeft w:val="0"/>
                      <w:marRight w:val="0"/>
                      <w:marTop w:val="0"/>
                      <w:marBottom w:val="0"/>
                      <w:divBdr>
                        <w:top w:val="none" w:sz="0" w:space="0" w:color="auto"/>
                        <w:left w:val="none" w:sz="0" w:space="0" w:color="auto"/>
                        <w:bottom w:val="none" w:sz="0" w:space="0" w:color="auto"/>
                        <w:right w:val="none" w:sz="0" w:space="0" w:color="auto"/>
                      </w:divBdr>
                      <w:divsChild>
                        <w:div w:id="809054206">
                          <w:marLeft w:val="0"/>
                          <w:marRight w:val="0"/>
                          <w:marTop w:val="0"/>
                          <w:marBottom w:val="0"/>
                          <w:divBdr>
                            <w:top w:val="none" w:sz="0" w:space="0" w:color="auto"/>
                            <w:left w:val="none" w:sz="0" w:space="0" w:color="auto"/>
                            <w:bottom w:val="none" w:sz="0" w:space="0" w:color="auto"/>
                            <w:right w:val="none" w:sz="0" w:space="0" w:color="auto"/>
                          </w:divBdr>
                          <w:divsChild>
                            <w:div w:id="896666312">
                              <w:marLeft w:val="0"/>
                              <w:marRight w:val="0"/>
                              <w:marTop w:val="0"/>
                              <w:marBottom w:val="0"/>
                              <w:divBdr>
                                <w:top w:val="none" w:sz="0" w:space="0" w:color="auto"/>
                                <w:left w:val="none" w:sz="0" w:space="0" w:color="auto"/>
                                <w:bottom w:val="none" w:sz="0" w:space="0" w:color="auto"/>
                                <w:right w:val="none" w:sz="0" w:space="0" w:color="auto"/>
                              </w:divBdr>
                              <w:divsChild>
                                <w:div w:id="233973067">
                                  <w:marLeft w:val="0"/>
                                  <w:marRight w:val="0"/>
                                  <w:marTop w:val="0"/>
                                  <w:marBottom w:val="0"/>
                                  <w:divBdr>
                                    <w:top w:val="none" w:sz="0" w:space="0" w:color="auto"/>
                                    <w:left w:val="none" w:sz="0" w:space="0" w:color="auto"/>
                                    <w:bottom w:val="none" w:sz="0" w:space="0" w:color="auto"/>
                                    <w:right w:val="none" w:sz="0" w:space="0" w:color="auto"/>
                                  </w:divBdr>
                                  <w:divsChild>
                                    <w:div w:id="1778406856">
                                      <w:marLeft w:val="0"/>
                                      <w:marRight w:val="0"/>
                                      <w:marTop w:val="0"/>
                                      <w:marBottom w:val="0"/>
                                      <w:divBdr>
                                        <w:top w:val="none" w:sz="0" w:space="0" w:color="auto"/>
                                        <w:left w:val="none" w:sz="0" w:space="0" w:color="auto"/>
                                        <w:bottom w:val="none" w:sz="0" w:space="0" w:color="auto"/>
                                        <w:right w:val="none" w:sz="0" w:space="0" w:color="auto"/>
                                      </w:divBdr>
                                      <w:divsChild>
                                        <w:div w:id="1363050207">
                                          <w:marLeft w:val="0"/>
                                          <w:marRight w:val="0"/>
                                          <w:marTop w:val="0"/>
                                          <w:marBottom w:val="0"/>
                                          <w:divBdr>
                                            <w:top w:val="none" w:sz="0" w:space="0" w:color="auto"/>
                                            <w:left w:val="none" w:sz="0" w:space="0" w:color="auto"/>
                                            <w:bottom w:val="none" w:sz="0" w:space="0" w:color="auto"/>
                                            <w:right w:val="none" w:sz="0" w:space="0" w:color="auto"/>
                                          </w:divBdr>
                                          <w:divsChild>
                                            <w:div w:id="9664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kaya.meb.gov.tr/www/aday-ogretmen-degerlendirme-formlari/icerik/35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540</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MUS-PC</dc:creator>
  <cp:keywords/>
  <dc:description/>
  <cp:lastModifiedBy>MEBBIS49GOKHAN</cp:lastModifiedBy>
  <cp:revision>4</cp:revision>
  <dcterms:created xsi:type="dcterms:W3CDTF">2015-11-23T08:53:00Z</dcterms:created>
  <dcterms:modified xsi:type="dcterms:W3CDTF">2015-11-23T12:23:00Z</dcterms:modified>
</cp:coreProperties>
</file>